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14,</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favored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study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Most previous studies on stemmed points focused on where they may have originated, connecting Korea with global patterns of modern human dispersal. There are, however, largely unanswered questions about the specific cultural processes and social contexts of this technological change in Korea</w:t>
      </w:r>
      <w:r>
        <w:t xml:space="preserve"> </w:t>
      </w:r>
      <w:r>
        <w:t xml:space="preserve">(Bae et al., 2017; Bae, 2010; Seong, 2008)</w:t>
      </w:r>
      <w:r>
        <w:t xml:space="preserve">. Our study explores the social contexts in which new technologies emerged in the Korean Late Paleolithic based on a cultural transmission framework. Our main question is: What was the dominant mode of cultural transmission for technological innovation in the Korean Late Paleolithic? We also ask: Do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developed independently.</w:t>
      </w:r>
    </w:p>
    <w:bookmarkEnd w:id="21"/>
    <w:bookmarkStart w:id="22" w:name="X9e4306f0d28b10121389d8b79ac0621e2d5c8b6"/>
    <w:p>
      <w:pPr>
        <w:pStyle w:val="Heading1"/>
      </w:pPr>
      <w:r>
        <w:t xml:space="preserve">The Late Paleolithic of the Korean Peninsula</w:t>
      </w:r>
    </w:p>
    <w:p>
      <w:pPr>
        <w:pStyle w:val="FirstParagraph"/>
      </w:pPr>
      <w:r>
        <w:t xml:space="preserve">The emergence of stemmed points marks the beginning of the Late Paleolithic period in Korea around 40-35 ka. A stemmed point is a projectile point made out of an elongated flake or blade with a slight retouch on the proximal end to shape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Yongho-doing site in Korea, dating back to 38.5ka</w:t>
      </w:r>
      <w:r>
        <w:t xml:space="preserve"> </w:t>
      </w:r>
      <w:r>
        <w:t xml:space="preserve">(Bae et al., 2017; Seong, 2015, 2009)</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 outside of the Korean peninsula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projectile points made when copied from successful models were more highly correlated than attributes of points made by trial and error. Mesoudi and O’Brien’s experimental results are critical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at the 1960s, around 300 have been found in nearly 30 sites across Korea (</w:t>
      </w:r>
      <w:hyperlink w:anchor="fig-map">
        <w:r>
          <w:rPr>
            <w:rStyle w:val="Hyperlink"/>
          </w:rPr>
          <w:t xml:space="preserve">Figure 1</w:t>
        </w:r>
      </w:hyperlink>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and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research limitations.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since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t>
      </w:r>
      <w:r>
        <w:t xml:space="preserve">we captured the landmarks from images of the artifacts, and exported them as XY coordinate data for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between artifact attributes was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determined by the ratio of the standard deviation to the mean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 Eerkens and Bettinger</w:t>
      </w:r>
      <w:r>
        <w:t xml:space="preserve"> </w:t>
      </w:r>
      <w:r>
        <w:t xml:space="preserve">(2001)</w:t>
      </w:r>
      <w:r>
        <w:t xml:space="preserve"> </w:t>
      </w:r>
      <w:r>
        <w:t xml:space="preserve">claim that over 57.7% of the CV is the result of random production and below 1.7% is the by-product of using a scale or template. Among all the various artifacts for which @eerkens2001techniques summarized CV values, the most comparable to stemmed points are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As an example, we compared samples of less than 25 pieces in order to explore temporal and regional patterns. Given these relatively small sample sizes in our study, we used the corrected CV formula,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Here we propose 25 as an approximate threshold to distinguish between the transmission biases. We used data in</w:t>
      </w:r>
      <w:r>
        <w:t xml:space="preserve"> </w:t>
      </w:r>
      <w:r>
        <w:t xml:space="preserve">Bettinger and Eerkens (1999)</w:t>
      </w:r>
      <w:r>
        <w:t xml:space="preserve"> </w:t>
      </w:r>
      <w:r>
        <w:t xml:space="preserve">to calculate CV values of Rosegate points from Monitor Valley, California, which was speculated by Bettinger and Eerkens to be the byproducts of indirect bias. With the exception of weight, the CVs for metric attributes on Rosegate points range from 17% to 24%. We believe the higher side of the CV range of Rosegate points is appropriate as a threshold value for our research based on the following reasons.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 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premised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BL and ML have stronger correlation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date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narrow distributions. Acidic volcanic rocks are one of the highly correlated materials, with individual correlations divided into two groups. Similarly, the correlation of shale stemmed points is also divided into two groups. Rhyolite stemmed points have a wide distribution of correlations, and some of the attributes are negatively correlated. Tuff stemmed points have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the Korean artifacts is higher. The CVs of body length (BL) and maximum length (ML) have the lowest values. The low CV and narrow confidence intervals of maximum length indicates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suggests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hyperlink w:anchor="fig-plot-cv-over-time">
        <w:r>
          <w:rPr>
            <w:rStyle w:val="Hyperlink"/>
          </w:rPr>
          <w:t xml:space="preserve">Figure 8</w:t>
        </w:r>
      </w:hyperlink>
      <w:r>
        <w:t xml:space="preserve"> </w:t>
      </w:r>
      <w:r>
        <w:t xml:space="preserve">shows CV values for stemmed points grouped into three chronological phases to examine temporal patterns in the modes of cultural transmission. We excluded stemmed points for Phase 1 due to the limited number of artifacts dating to this time.</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for both phases. Only body length (BL) crosses the threshold value, changing from &lt;25 to &gt;25 over time, indicating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We further analysed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included CV values of body length, maximum length, mid width, and tang width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directional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It is interesting because SYG1_2 has the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Another interpretation is that these results suggest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We asked three questions to examine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value for interpreting correlation coefficients to evaluate which of the two transmission biases was dominant. Correlation coefficients below 0.5 are indicative of guided variation and higher values indicate indirect bias. Since there is no previously established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Our correlation analyses show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artefacts are considered together, CV values for all stemmed point attributes are mostly over 25, except for maximum length, which is just below. However, further analysis by site and raw material show more ambiguous patterns, with CV values close to or below the threshold value.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minimal change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SW</w:t>
            </w:r>
          </w:p>
        </w:tc>
        <w:tc>
          <w:tcPr/>
          <w:p>
            <w:pPr>
              <w:pStyle w:val="Compact"/>
              <w:jc w:val="right"/>
            </w:pPr>
            <w:r>
              <w:t xml:space="preserve">0.017</w:t>
            </w:r>
          </w:p>
        </w:tc>
        <w:tc>
          <w:tcPr/>
          <w:p>
            <w:pPr>
              <w:pStyle w:val="Compact"/>
              <w:jc w:val="right"/>
            </w:pPr>
            <w:r>
              <w:t xml:space="preserve">0.896</w:t>
            </w:r>
          </w:p>
        </w:tc>
      </w:tr>
      <w:tr>
        <w:tc>
          <w:tcPr/>
          <w:p>
            <w:pPr>
              <w:pStyle w:val="Compact"/>
              <w:jc w:val="left"/>
            </w:pPr>
            <w:r>
              <w:t xml:space="preserve">TL</w:t>
            </w:r>
          </w:p>
        </w:tc>
        <w:tc>
          <w:tcPr/>
          <w:p>
            <w:pPr>
              <w:pStyle w:val="Compact"/>
              <w:jc w:val="right"/>
            </w:pPr>
            <w:r>
              <w:t xml:space="preserve">0.027</w:t>
            </w:r>
          </w:p>
        </w:tc>
        <w:tc>
          <w:tcPr/>
          <w:p>
            <w:pPr>
              <w:pStyle w:val="Compact"/>
              <w:jc w:val="right"/>
            </w:pPr>
            <w:r>
              <w:t xml:space="preserve">0.868</w:t>
            </w:r>
          </w:p>
        </w:tc>
      </w:tr>
      <w:tr>
        <w:tc>
          <w:tcPr/>
          <w:p>
            <w:pPr>
              <w:pStyle w:val="Compact"/>
              <w:jc w:val="left"/>
            </w:pPr>
            <w:r>
              <w:t xml:space="preserve">BL</w:t>
            </w:r>
          </w:p>
        </w:tc>
        <w:tc>
          <w:tcPr/>
          <w:p>
            <w:pPr>
              <w:pStyle w:val="Compact"/>
              <w:jc w:val="right"/>
            </w:pPr>
            <w:r>
              <w:t xml:space="preserve">0.338</w:t>
            </w:r>
          </w:p>
        </w:tc>
        <w:tc>
          <w:tcPr/>
          <w:p>
            <w:pPr>
              <w:pStyle w:val="Compact"/>
              <w:jc w:val="right"/>
            </w:pPr>
            <w:r>
              <w:t xml:space="preserve">0.561</w:t>
            </w:r>
          </w:p>
        </w:tc>
      </w:tr>
      <w:tr>
        <w:tc>
          <w:tcPr/>
          <w:p>
            <w:pPr>
              <w:pStyle w:val="Compact"/>
              <w:jc w:val="left"/>
            </w:pPr>
            <w:r>
              <w:t xml:space="preserve">ML</w:t>
            </w:r>
          </w:p>
        </w:tc>
        <w:tc>
          <w:tcPr/>
          <w:p>
            <w:pPr>
              <w:pStyle w:val="Compact"/>
              <w:jc w:val="right"/>
            </w:pPr>
            <w:r>
              <w:t xml:space="preserve">0.409</w:t>
            </w:r>
          </w:p>
        </w:tc>
        <w:tc>
          <w:tcPr/>
          <w:p>
            <w:pPr>
              <w:pStyle w:val="Compact"/>
              <w:jc w:val="right"/>
            </w:pPr>
            <w:r>
              <w:t xml:space="preserve">0.522</w:t>
            </w:r>
          </w:p>
        </w:tc>
      </w:tr>
      <w:tr>
        <w:tc>
          <w:tcPr/>
          <w:p>
            <w:pPr>
              <w:pStyle w:val="Compact"/>
              <w:jc w:val="left"/>
            </w:pPr>
            <w:r>
              <w:t xml:space="preserve">SL</w:t>
            </w:r>
          </w:p>
        </w:tc>
        <w:tc>
          <w:tcPr/>
          <w:p>
            <w:pPr>
              <w:pStyle w:val="Compact"/>
              <w:jc w:val="right"/>
            </w:pPr>
            <w:r>
              <w:t xml:space="preserve">0.444</w:t>
            </w:r>
          </w:p>
        </w:tc>
        <w:tc>
          <w:tcPr/>
          <w:p>
            <w:pPr>
              <w:pStyle w:val="Compact"/>
              <w:jc w:val="right"/>
            </w:pPr>
            <w:r>
              <w:t xml:space="preserve">0.505</w:t>
            </w:r>
          </w:p>
        </w:tc>
      </w:tr>
      <w:tr>
        <w:tc>
          <w:tcPr/>
          <w:p>
            <w:pPr>
              <w:pStyle w:val="Compact"/>
              <w:jc w:val="left"/>
            </w:pPr>
            <w:r>
              <w:t xml:space="preserve">TW</w:t>
            </w:r>
          </w:p>
        </w:tc>
        <w:tc>
          <w:tcPr/>
          <w:p>
            <w:pPr>
              <w:pStyle w:val="Compact"/>
              <w:jc w:val="right"/>
            </w:pPr>
            <w:r>
              <w:t xml:space="preserve">0.694</w:t>
            </w:r>
          </w:p>
        </w:tc>
        <w:tc>
          <w:tcPr/>
          <w:p>
            <w:pPr>
              <w:pStyle w:val="Compact"/>
              <w:jc w:val="right"/>
            </w:pPr>
            <w:r>
              <w:t xml:space="preserve">0.405</w:t>
            </w:r>
          </w:p>
        </w:tc>
      </w:tr>
      <w:tr>
        <w:tc>
          <w:tcPr/>
          <w:p>
            <w:pPr>
              <w:pStyle w:val="Compact"/>
              <w:jc w:val="left"/>
            </w:pPr>
            <w:r>
              <w:t xml:space="preserve">MW</w:t>
            </w:r>
          </w:p>
        </w:tc>
        <w:tc>
          <w:tcPr/>
          <w:p>
            <w:pPr>
              <w:pStyle w:val="Compact"/>
              <w:jc w:val="right"/>
            </w:pPr>
            <w:r>
              <w:t xml:space="preserve">0.788</w:t>
            </w:r>
          </w:p>
        </w:tc>
        <w:tc>
          <w:tcPr/>
          <w:p>
            <w:pPr>
              <w:pStyle w:val="Compact"/>
              <w:jc w:val="right"/>
            </w:pPr>
            <w:r>
              <w:t xml:space="preserve">0.375</w:t>
            </w:r>
          </w:p>
        </w:tc>
      </w:tr>
    </w:tbl>
    <w:bookmarkEnd w:id="76"/>
    <w:p>
      <w:pPr>
        <w:pStyle w:val="BodyText"/>
      </w:pPr>
      <w:r>
        <w:t xml:space="preserve">In exploring geographical variation we found no clear pattern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each assemblage has different distribution patterns of correlation coefficients and CV values. SYG1_2 and SYG1_3 are from the same site but different chronological periods and correlations decreases over time. It is likely that correlation or overall shape can be more depending on individual knappers. We also found that some attributes such as maximum width and maximum length have stronger correlation while the others including stemmed length and body length have lower or even negative correlation. Based on these findings, we propose that certain attributes were more carefully transmitted than others. We observed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w:t>
      </w:r>
    </w:p>
    <w:p>
      <w:pPr>
        <w:pStyle w:val="BodyText"/>
      </w:pPr>
      <w:r>
        <w:t xml:space="preserve">Our interpretation is that attributes with lower CV values were be transmitted in a social context dominated by indirect bias, while the higher CV attributes were influenced more by specific manufacturing and maintenance situations. We assume that the lower CV values of the four attributes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is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strongly influenced stemmed points shape variance. We expected that stemmed points with higher correlation coefficients would also have lower CV values, but the results do not match our expectations because of how influential raw materials are in the CV values. For example, artifacts made from acidic quartzite have highest correlation but their CV values are also much higher with wider confidence intervals, than all other raw materials. This complex results might be related to the relatively unpredictable knapping quality of quartzite.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p>
      <w:pPr>
        <w:pStyle w:val="BodyText"/>
      </w:pPr>
      <w:r>
        <w:t xml:space="preserve">Based on this results, we assume that the earlier transmission for stemmed points was more likely the results of guided variation. On the other hand, Phase 3 could be more associated with indirect bias.</w:t>
      </w:r>
      <w:r>
        <w:t xml:space="preserve"> </w:t>
      </w:r>
      <w:r>
        <w:t xml:space="preserve">The results of this study have implications for determining whether these novel technologies originated outside of the Korean Peninsula or if they were locally developed independently.??</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This is in the same range of correlation coefficients that Bettinger and Eerkens interpreted as indirect bias. We also confirm a slight decrease in CV values in four attributes. This results may suggest a shift in the social context of transmission of tool-making skills away from trial and error and towards increased reliance on copying a model. Drawing on evolutionary ecological theory, we might speculate that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at different assemblages. Correlation coefficient values across the assemblages affirm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perhaps the cooler climate favored an expanded range for searching for raw materials, leading to a higher diversity. Similarly, change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66" w:name="references"/>
    <w:p>
      <w:pPr>
        <w:pStyle w:val="Heading1"/>
      </w:pPr>
      <w:r>
        <w:t xml:space="preserve">References</w:t>
      </w:r>
    </w:p>
    <w:bookmarkStart w:id="164" w:name="refs"/>
    <w:bookmarkStart w:id="81"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1"/>
    <w:bookmarkStart w:id="82" w:name="ref-bae2013early"/>
    <w:p>
      <w:pPr>
        <w:pStyle w:val="Bibliography"/>
      </w:pPr>
      <w:r>
        <w:t xml:space="preserve">Bae, C., Bae, K., Kim, J.C., 2013. The early to late paleolithic transition in korea: A closer look. Radiocarbon 55, 1341–1349.</w:t>
      </w:r>
    </w:p>
    <w:bookmarkEnd w:id="82"/>
    <w:bookmarkStart w:id="83" w:name="ref-bae2012nature"/>
    <w:p>
      <w:pPr>
        <w:pStyle w:val="Bibliography"/>
      </w:pPr>
      <w:r>
        <w:t xml:space="preserve">Bae, C.J., Bae, K., 2012. The nature of the early to late paleolithic transition in korea: Current perspectives. Quaternary International 281, 26–35.</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amforth2009projectile"/>
    <w:p>
      <w:pPr>
        <w:pStyle w:val="Bibliography"/>
      </w:pPr>
      <w:r>
        <w:t xml:space="preserve">Bamforth, D.B., 2009. Projectile points, people, and plains paleoindian perambulations. Journal of Anthropological Archaeology 28, 142–157.</w:t>
      </w:r>
    </w:p>
    <w:bookmarkEnd w:id="86"/>
    <w:bookmarkStart w:id="87" w:name="ref-banik2011estimating"/>
    <w:p>
      <w:pPr>
        <w:pStyle w:val="Bibliography"/>
      </w:pPr>
      <w:r>
        <w:t xml:space="preserve">Banik, S., Kibria, B.G., 2011. Estimating the population coefficient of variation by confidence intervals. Communications in Statistics-Simulation and Computation 40, 1236–1261.</w:t>
      </w:r>
    </w:p>
    <w:bookmarkEnd w:id="87"/>
    <w:bookmarkStart w:id="88"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8"/>
    <w:bookmarkStart w:id="89" w:name="ref-bettinger1999point"/>
    <w:p>
      <w:pPr>
        <w:pStyle w:val="Bibliography"/>
      </w:pPr>
      <w:r>
        <w:t xml:space="preserve">Bettinger, R.L., Eerkens, J., 1999. Point typologies, cultural transmission, and the spread of bow-and-arrow technology in the prehistoric great basin. American antiquity 231–242.</w:t>
      </w:r>
    </w:p>
    <w:bookmarkEnd w:id="89"/>
    <w:bookmarkStart w:id="9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0"/>
    <w:bookmarkStart w:id="91" w:name="ref-bettinger1997rediscovering"/>
    <w:p>
      <w:pPr>
        <w:pStyle w:val="Bibliography"/>
      </w:pPr>
      <w:r>
        <w:t xml:space="preserve">Bettinger, R.L., Eerkens, J.W., Barton, C., Clark, G., 1997. Rediscovering darwin: Evolutionary theory and archaeological explanation.</w:t>
      </w:r>
    </w:p>
    <w:bookmarkEnd w:id="91"/>
    <w:bookmarkStart w:id="92" w:name="ref-bischoff2021rosegate"/>
    <w:p>
      <w:pPr>
        <w:pStyle w:val="Bibliography"/>
      </w:pPr>
      <w:r>
        <w:t xml:space="preserve">Bischoff, R., Allison, J., 2021. Rosegate projectile points in the fremont region.</w:t>
      </w:r>
    </w:p>
    <w:bookmarkEnd w:id="92"/>
    <w:bookmarkStart w:id="93" w:name="ref-boyd1988culture"/>
    <w:p>
      <w:pPr>
        <w:pStyle w:val="Bibliography"/>
      </w:pPr>
      <w:r>
        <w:t xml:space="preserve">Boyd, R., Richerson, P.J., 1988. Culture and the evolutionary process. University of Chicago press.</w:t>
      </w:r>
    </w:p>
    <w:bookmarkEnd w:id="93"/>
    <w:bookmarkStart w:id="9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4"/>
    <w:bookmarkStart w:id="9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5"/>
    <w:bookmarkStart w:id="96" w:name="ref-chang2013human"/>
    <w:p>
      <w:pPr>
        <w:pStyle w:val="Bibliography"/>
      </w:pPr>
      <w:r>
        <w:t xml:space="preserve">Chang, Y., 2013. Human activity and lithic technology between korea and japan from MIS 3 to MIS 2 in the late paleolithic period. Quaternary International 308, 13–26.</w:t>
      </w:r>
    </w:p>
    <w:bookmarkEnd w:id="96"/>
    <w:bookmarkStart w:id="97" w:name="ref-cheshier2006projectile"/>
    <w:p>
      <w:pPr>
        <w:pStyle w:val="Bibliography"/>
      </w:pPr>
      <w:r>
        <w:t xml:space="preserve">Cheshier, J., Kelly, R.L., 2006. Projectile point shape and durability: The effect of thickness: length. American Antiquity 353–363.</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fitzhugh2001risk"/>
    <w:p>
      <w:pPr>
        <w:pStyle w:val="Bibliography"/>
      </w:pPr>
      <w:r>
        <w:t xml:space="preserve">Fitzhugh, B., 2001. Risk and invention in human technological evolution. Journal of Anthropological archaeology 20, 125–167.</w:t>
      </w:r>
    </w:p>
    <w:bookmarkEnd w:id="107"/>
    <w:bookmarkStart w:id="10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8"/>
    <w:bookmarkStart w:id="10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9"/>
    <w:bookmarkStart w:id="110" w:name="ref-heyes1994social"/>
    <w:p>
      <w:pPr>
        <w:pStyle w:val="Bibliography"/>
      </w:pPr>
      <w:r>
        <w:t xml:space="preserve">Heyes, C.M., 1994. Social learning in animals: Categories and mechanisms. Biological Reviews 69, 207–231.</w:t>
      </w:r>
    </w:p>
    <w:bookmarkEnd w:id="110"/>
    <w:bookmarkStart w:id="111" w:name="ref-kelley2007sample"/>
    <w:p>
      <w:pPr>
        <w:pStyle w:val="Bibliography"/>
      </w:pPr>
      <w:r>
        <w:t xml:space="preserve">Kelley, K., 2007. Sample size planning for the coefficient of variation from the accuracy in parameter estimation approach. Behavior Research Methods 39, 755–766.</w:t>
      </w:r>
    </w:p>
    <w:bookmarkEnd w:id="111"/>
    <w:bookmarkStart w:id="112" w:name="ref-kendal2018social"/>
    <w:p>
      <w:pPr>
        <w:pStyle w:val="Bibliography"/>
      </w:pPr>
      <w:r>
        <w:t xml:space="preserve">Kendal, R.L., Boogert, N.J., Rendell, L., Laland, K.N., Webster, M., Jones, P.L., 2018. Social learning strategies: Bridge-building between fields. Trends in cognitive sciences 22, 651–665.</w:t>
      </w:r>
    </w:p>
    <w:bookmarkEnd w:id="112"/>
    <w:bookmarkStart w:id="11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3"/>
    <w:bookmarkStart w:id="114" w:name="ref-koopmans1964confidence"/>
    <w:p>
      <w:pPr>
        <w:pStyle w:val="Bibliography"/>
      </w:pPr>
      <w:r>
        <w:t xml:space="preserve">Koopmans, L.H., Owen, D.B., Rosenblatt, J.I., 1964. Confidence intervals for the coefficient of variation for the normal and log normal distributions. Biometrika 51, 25–32.</w:t>
      </w:r>
    </w:p>
    <w:bookmarkEnd w:id="114"/>
    <w:bookmarkStart w:id="115" w:name="ref-krishnamoorthy2014improved"/>
    <w:p>
      <w:pPr>
        <w:pStyle w:val="Bibliography"/>
      </w:pPr>
      <w:r>
        <w:t xml:space="preserve">Krishnamoorthy, K., Lee, M., 2014. Improved tests for the equality of normal coefficients of variation. Computational statistics 29, 215–232.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6"/>
    <w:bookmarkStart w:id="13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7"/>
    <w:bookmarkStart w:id="139" w:name="ref-RCoreTeam"/>
    <w:p>
      <w:pPr>
        <w:pStyle w:val="Bibliography"/>
      </w:pPr>
      <w:r>
        <w:t xml:space="preserve">R Core Team, 2022.</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0" w:name="ref-richerson1992cultural"/>
    <w:p>
      <w:pPr>
        <w:pStyle w:val="Bibliography"/>
      </w:pPr>
      <w:r>
        <w:t xml:space="preserve">Richerson, P.J., Boyd, R., 1992. Cultural inheritance and evolutionary ecology. Evolutionary ecology and human behavior 61–92.</w:t>
      </w:r>
    </w:p>
    <w:bookmarkEnd w:id="140"/>
    <w:bookmarkStart w:id="141" w:name="ref-riede2010isn"/>
    <w:p>
      <w:pPr>
        <w:pStyle w:val="Bibliography"/>
      </w:pPr>
      <w:r>
        <w:t xml:space="preserve">Riede, F., 2010. Why isn’t archaeology (more) darwinian? A historical perspective. Journal of Evolutionary Psychology 8, 183–204.</w:t>
      </w:r>
    </w:p>
    <w:bookmarkEnd w:id="141"/>
    <w:bookmarkStart w:id="14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2"/>
    <w:bookmarkStart w:id="14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3"/>
    <w:bookmarkStart w:id="144" w:name="ref-schneider2012nih"/>
    <w:p>
      <w:pPr>
        <w:pStyle w:val="Bibliography"/>
      </w:pPr>
      <w:r>
        <w:t xml:space="preserve">Schneider, C.A., Rasband, W.S., Eliceiri, K.W., 2012. NIH image to ImageJ: 25 years of image analysis. Nature methods 9, 671–675.</w:t>
      </w:r>
    </w:p>
    <w:bookmarkEnd w:id="144"/>
    <w:bookmarkStart w:id="145" w:name="ref-seong2015diversity"/>
    <w:p>
      <w:pPr>
        <w:pStyle w:val="Bibliography"/>
      </w:pPr>
      <w:r>
        <w:t xml:space="preserve">Seong, C., 2015. Diversity of lithic assemblages and evolution of late palaeolithic culture in korea. Asian Perspectives 91–112.</w:t>
      </w:r>
    </w:p>
    <w:bookmarkEnd w:id="145"/>
    <w:bookmarkStart w:id="146" w:name="ref-seong2009emergence"/>
    <w:p>
      <w:pPr>
        <w:pStyle w:val="Bibliography"/>
      </w:pPr>
      <w:r>
        <w:t xml:space="preserve">Seong, C., 2009. Emergence of a blade industry and evolution of late paleolithic technology in the republic of korea. Journal of Anthropological Research 65, 417–451.</w:t>
      </w:r>
    </w:p>
    <w:bookmarkEnd w:id="146"/>
    <w:bookmarkStart w:id="147" w:name="ref-seong2008tanged"/>
    <w:p>
      <w:pPr>
        <w:pStyle w:val="Bibliography"/>
      </w:pPr>
      <w:r>
        <w:t xml:space="preserve">Seong, C., 2008. Tanged points, microblades and late palaeolithic hunting in korea. Antiquity 82, 871–883.</w:t>
      </w:r>
    </w:p>
    <w:bookmarkEnd w:id="147"/>
    <w:bookmarkStart w:id="148" w:name="ref-seong2006structure"/>
    <w:p>
      <w:pPr>
        <w:pStyle w:val="Bibliography"/>
      </w:pPr>
      <w:r>
        <w:t xml:space="preserve">Seong, C., 2006. Structure and evolution of late paleolithic assemblages in korea. Journal of the Korean Archaeological Society 59, 4–39.</w:t>
      </w:r>
    </w:p>
    <w:bookmarkEnd w:id="148"/>
    <w:bookmarkStart w:id="149" w:name="ref-sharma1994asymptotic"/>
    <w:p>
      <w:pPr>
        <w:pStyle w:val="Bibliography"/>
      </w:pPr>
      <w:r>
        <w:t xml:space="preserve">Sharma, K., Krishna, H., 1994. Asymptotic sampling distribution of inverse coefficient-of-variation and its applications. IEEE Transactions on Reliability 43, 630–633.</w:t>
      </w:r>
    </w:p>
    <w:bookmarkEnd w:id="149"/>
    <w:bookmarkStart w:id="150" w:name="ref-shea2001experimental"/>
    <w:p>
      <w:pPr>
        <w:pStyle w:val="Bibliography"/>
      </w:pPr>
      <w:r>
        <w:t xml:space="preserve">Shea, J., Davis, Z., Brown, K., 2001. Experimental tests of middle palaeolithic spear points using a calibrated crossbow. Journal of Archaeological Science 28, 807–816.</w:t>
      </w:r>
    </w:p>
    <w:bookmarkEnd w:id="150"/>
    <w:bookmarkStart w:id="15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1"/>
    <w:bookmarkStart w:id="152"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52"/>
    <w:bookmarkStart w:id="15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3"/>
    <w:bookmarkStart w:id="154" w:name="ref-thulman2012discriminating"/>
    <w:p>
      <w:pPr>
        <w:pStyle w:val="Bibliography"/>
      </w:pPr>
      <w:r>
        <w:t xml:space="preserve">Thulman, D.K., 2012. Discriminating paleoindian point types from florida using landmark geometric morphometrics. Journal of Archaeological Science 39, 1599–1607.</w:t>
      </w:r>
    </w:p>
    <w:bookmarkEnd w:id="154"/>
    <w:bookmarkStart w:id="15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5"/>
    <w:bookmarkStart w:id="156" w:name="ref-vangel1996confidence"/>
    <w:p>
      <w:pPr>
        <w:pStyle w:val="Bibliography"/>
      </w:pPr>
      <w:r>
        <w:t xml:space="preserve">Vangel, M.G., 1996. Confidence intervals for a normal coefficient of variation. The American Statistician 50, 21–26.</w:t>
      </w:r>
    </w:p>
    <w:bookmarkEnd w:id="156"/>
    <w:bookmarkStart w:id="157" w:name="ref-vanpool2011quantitative"/>
    <w:p>
      <w:pPr>
        <w:pStyle w:val="Bibliography"/>
      </w:pPr>
      <w:r>
        <w:t xml:space="preserve">VanPool, T.L., Leonard, R.D., 2011. Quantitative analysis in archaeology. John Wiley &amp; Sons.</w:t>
      </w:r>
    </w:p>
    <w:bookmarkEnd w:id="157"/>
    <w:bookmarkStart w:id="158"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58"/>
    <w:bookmarkStart w:id="160" w:name="ref-Whiten_2017"/>
    <w:p>
      <w:pPr>
        <w:pStyle w:val="Bibliography"/>
      </w:pPr>
      <w:r>
        <w:t xml:space="preserve">Whiten, A., 2017. A second inheritance system: The extension of biology through culture. Interface Focus 7, 20160142.</w:t>
      </w:r>
      <w:r>
        <w:t xml:space="preserve"> </w:t>
      </w:r>
      <w:hyperlink r:id="rId159">
        <w:r>
          <w:rPr>
            <w:rStyle w:val="Hyperlink"/>
          </w:rPr>
          <w:t xml:space="preserve">https://doi.org/10.1098/rsfs.2016.0142</w:t>
        </w:r>
      </w:hyperlink>
    </w:p>
    <w:bookmarkEnd w:id="160"/>
    <w:bookmarkStart w:id="161" w:name="ref-wierer2013variability"/>
    <w:p>
      <w:pPr>
        <w:pStyle w:val="Bibliography"/>
      </w:pPr>
      <w:r>
        <w:t xml:space="preserve">Wierer, U., 2013. Variability and standardization: The early gravettian lithic complex of grotta paglicci, southern italy. Quaternary International 288, 215–238.</w:t>
      </w:r>
    </w:p>
    <w:bookmarkEnd w:id="161"/>
    <w:bookmarkStart w:id="16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2"/>
    <w:bookmarkStart w:id="16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3"/>
    <w:bookmarkEnd w:id="164"/>
    <w:p>
      <w:r>
        <w:br w:type="page"/>
      </w:r>
    </w:p>
    <w:bookmarkStart w:id="165" w:name="colophon"/>
    <w:p>
      <w:pPr>
        <w:pStyle w:val="Heading3"/>
      </w:pPr>
      <w:r>
        <w:t xml:space="preserve">Colophon</w:t>
      </w:r>
    </w:p>
    <w:p>
      <w:pPr>
        <w:pStyle w:val="FirstParagraph"/>
      </w:pPr>
      <w:r>
        <w:t xml:space="preserve">This report was generated on 2023-02-14 22:13:40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2023-02-14</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codetools       0.2-18  2020-11-04 [2]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foreign         0.8-83  2022-09-28 [2]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[51cc6b5] 2023-02-15: Edit by methods</w:t>
      </w:r>
    </w:p>
    <w:bookmarkEnd w:id="165"/>
    <w:bookmarkEnd w:id="16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59"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2023-02-15T06:13:42Z</dcterms:created>
  <dcterms:modified xsi:type="dcterms:W3CDTF">2023-02-15T06:13:42Z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14,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